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6.918400pt;margin-top:524.909424pt;width:807.5pt;height:59.05pt;mso-position-horizontal-relative:page;mso-position-vertical-relative:page;z-index:-15783424" coordorigin="338,10498" coordsize="16150,1181">
            <v:shape style="position:absolute;left:1765;top:10703;width:65;height:65" coordorigin="1765,10704" coordsize="65,65" path="m1785,10704l1783,10705,1783,10726,1783,10727,1765,10739,1766,10741,1786,10747,1787,10747,1793,10768,1795,10768,1807,10751,1807,10751,1829,10751,1830,10749,1817,10733,1817,10732,1824,10711,1823,10710,1803,10717,1802,10717xe" filled="true" fillcolor="#292526" stroked="false">
              <v:path arrowok="t"/>
              <v:fill type="solid"/>
            </v:shape>
            <v:shape style="position:absolute;left:338;top:10498;width:16150;height:118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35;top:11079;width:1813;height:238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Tuffy"/>
                        <w:b/>
                        <w:color w:val="FFFFFF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Year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4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Term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3A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92526"/>
        </w:rPr>
        <w:t>Year 4 Term 3A Overview</w:t>
      </w:r>
    </w:p>
    <w:p>
      <w:pPr>
        <w:pStyle w:val="BodyText"/>
        <w:spacing w:line="285" w:lineRule="auto" w:before="153"/>
        <w:ind w:left="189" w:right="132"/>
        <w:jc w:val="both"/>
      </w:pPr>
      <w:r>
        <w:rPr>
          <w:color w:val="292526"/>
          <w:spacing w:val="3"/>
        </w:rPr>
        <w:t>Objectives that </w:t>
      </w:r>
      <w:r>
        <w:rPr>
          <w:color w:val="292526"/>
        </w:rPr>
        <w:t>are in </w:t>
      </w:r>
      <w:r>
        <w:rPr>
          <w:color w:val="C91362"/>
          <w:spacing w:val="3"/>
        </w:rPr>
        <w:t>pink </w:t>
      </w:r>
      <w:r>
        <w:rPr>
          <w:color w:val="292526"/>
        </w:rPr>
        <w:t>are a </w:t>
      </w:r>
      <w:r>
        <w:rPr>
          <w:color w:val="292526"/>
          <w:spacing w:val="3"/>
        </w:rPr>
        <w:t>Y3/Y4 statutory </w:t>
      </w:r>
      <w:r>
        <w:rPr>
          <w:color w:val="292526"/>
          <w:spacing w:val="2"/>
        </w:rPr>
        <w:t>requirement and </w:t>
      </w:r>
      <w:r>
        <w:rPr>
          <w:color w:val="292526"/>
          <w:spacing w:val="3"/>
        </w:rPr>
        <w:t>individual words highlighted </w:t>
      </w:r>
      <w:r>
        <w:rPr>
          <w:color w:val="C91362"/>
          <w:spacing w:val="3"/>
        </w:rPr>
        <w:t>pink </w:t>
      </w:r>
      <w:r>
        <w:rPr>
          <w:color w:val="292526"/>
        </w:rPr>
        <w:t>are </w:t>
      </w:r>
      <w:r>
        <w:rPr>
          <w:color w:val="292526"/>
          <w:spacing w:val="3"/>
        </w:rPr>
        <w:t>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Y3/Y4 statutory spelling list.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additional </w:t>
      </w:r>
      <w:r>
        <w:rPr>
          <w:color w:val="292526"/>
          <w:spacing w:val="2"/>
        </w:rPr>
        <w:t>sets </w:t>
      </w:r>
      <w:r>
        <w:rPr>
          <w:color w:val="292526"/>
          <w:spacing w:val="3"/>
        </w:rPr>
        <w:t>either: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revise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previously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visited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rules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from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lower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year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groups;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practise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rule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linked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Y3/Y4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statutory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spelling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word</w:t>
      </w:r>
      <w:r>
        <w:rPr>
          <w:color w:val="292526"/>
          <w:spacing w:val="-15"/>
        </w:rPr>
        <w:t> </w:t>
      </w:r>
      <w:r>
        <w:rPr>
          <w:color w:val="292526"/>
        </w:rPr>
        <w:t>or</w:t>
      </w:r>
      <w:r>
        <w:rPr>
          <w:color w:val="292526"/>
          <w:spacing w:val="-15"/>
        </w:rPr>
        <w:t> </w:t>
      </w:r>
      <w:r>
        <w:rPr>
          <w:color w:val="292526"/>
          <w:spacing w:val="2"/>
        </w:rPr>
        <w:t>relate</w:t>
      </w:r>
      <w:r>
        <w:rPr>
          <w:color w:val="292526"/>
          <w:spacing w:val="-15"/>
        </w:rPr>
        <w:t> </w:t>
      </w:r>
      <w:r>
        <w:rPr>
          <w:color w:val="292526"/>
        </w:rPr>
        <w:t>to</w:t>
      </w:r>
      <w:r>
        <w:rPr>
          <w:color w:val="292526"/>
          <w:spacing w:val="-15"/>
        </w:rPr>
        <w:t> </w:t>
      </w:r>
      <w:r>
        <w:rPr>
          <w:color w:val="292526"/>
        </w:rPr>
        <w:t>a</w:t>
      </w:r>
      <w:r>
        <w:rPr>
          <w:color w:val="292526"/>
          <w:spacing w:val="-14"/>
        </w:rPr>
        <w:t> </w:t>
      </w:r>
      <w:r>
        <w:rPr>
          <w:color w:val="292526"/>
          <w:spacing w:val="3"/>
        </w:rPr>
        <w:t>word,</w:t>
      </w:r>
      <w:r>
        <w:rPr>
          <w:color w:val="292526"/>
          <w:spacing w:val="-15"/>
        </w:rPr>
        <w:t> </w:t>
      </w:r>
      <w:r>
        <w:rPr>
          <w:color w:val="292526"/>
          <w:spacing w:val="3"/>
        </w:rPr>
        <w:t>sentence</w:t>
      </w:r>
      <w:r>
        <w:rPr>
          <w:color w:val="292526"/>
          <w:spacing w:val="-15"/>
        </w:rPr>
        <w:t> </w:t>
      </w:r>
      <w:r>
        <w:rPr>
          <w:color w:val="292526"/>
          <w:spacing w:val="4"/>
        </w:rPr>
        <w:t>or </w:t>
      </w:r>
      <w:r>
        <w:rPr>
          <w:color w:val="292526"/>
          <w:spacing w:val="3"/>
        </w:rPr>
        <w:t>punctuation objective from </w:t>
      </w:r>
      <w:r>
        <w:rPr>
          <w:color w:val="292526"/>
          <w:spacing w:val="2"/>
        </w:rPr>
        <w:t>the </w:t>
      </w:r>
      <w:r>
        <w:rPr>
          <w:color w:val="292526"/>
          <w:spacing w:val="3"/>
        </w:rPr>
        <w:t>English Appendix </w:t>
      </w:r>
      <w:r>
        <w:rPr>
          <w:color w:val="292526"/>
        </w:rPr>
        <w:t>2 of </w:t>
      </w:r>
      <w:r>
        <w:rPr>
          <w:color w:val="292526"/>
          <w:spacing w:val="2"/>
        </w:rPr>
        <w:t>the </w:t>
      </w:r>
      <w:r>
        <w:rPr>
          <w:color w:val="292526"/>
        </w:rPr>
        <w:t>NC </w:t>
      </w:r>
      <w:r>
        <w:rPr>
          <w:color w:val="292526"/>
          <w:spacing w:val="3"/>
        </w:rPr>
        <w:t>2014. Each </w:t>
      </w:r>
      <w:r>
        <w:rPr>
          <w:color w:val="292526"/>
        </w:rPr>
        <w:t>set of </w:t>
      </w:r>
      <w:r>
        <w:rPr>
          <w:color w:val="292526"/>
          <w:spacing w:val="3"/>
        </w:rPr>
        <w:t>spellings contains </w:t>
      </w:r>
      <w:r>
        <w:rPr>
          <w:color w:val="292526"/>
        </w:rPr>
        <w:t>10 </w:t>
      </w:r>
      <w:r>
        <w:rPr>
          <w:color w:val="292526"/>
          <w:spacing w:val="3"/>
        </w:rPr>
        <w:t>words linked </w:t>
      </w:r>
      <w:r>
        <w:rPr>
          <w:color w:val="292526"/>
        </w:rPr>
        <w:t>to </w:t>
      </w:r>
      <w:r>
        <w:rPr>
          <w:color w:val="292526"/>
          <w:spacing w:val="2"/>
        </w:rPr>
        <w:t>the</w:t>
      </w:r>
      <w:r>
        <w:rPr>
          <w:color w:val="292526"/>
          <w:spacing w:val="58"/>
        </w:rPr>
        <w:t> </w:t>
      </w:r>
      <w:r>
        <w:rPr>
          <w:color w:val="292526"/>
          <w:spacing w:val="4"/>
        </w:rPr>
        <w:t>objective.</w:t>
      </w:r>
    </w:p>
    <w:p>
      <w:pPr>
        <w:pStyle w:val="BodyText"/>
      </w:pP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  <w:gridCol w:w="2306"/>
        <w:gridCol w:w="2306"/>
        <w:gridCol w:w="2306"/>
      </w:tblGrid>
      <w:tr>
        <w:trPr>
          <w:trHeight w:val="387" w:hRule="atLeast"/>
        </w:trPr>
        <w:tc>
          <w:tcPr>
            <w:tcW w:w="2306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ind w:left="748" w:right="73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6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6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568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ind w:left="0" w:right="840"/>
              <w:jc w:val="right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7</w:t>
            </w:r>
          </w:p>
        </w:tc>
      </w:tr>
      <w:tr>
        <w:trPr>
          <w:trHeight w:val="1252" w:hRule="atLeast"/>
        </w:trPr>
        <w:tc>
          <w:tcPr>
            <w:tcW w:w="230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6"/>
              <w:ind w:left="193" w:right="372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inter- (meaning ‘between’ or ‘among’)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7" w:right="954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C91362"/>
                <w:sz w:val="22"/>
              </w:rPr>
              <w:t>Adding the prefix anti-</w:t>
            </w:r>
          </w:p>
          <w:p>
            <w:pPr>
              <w:pStyle w:val="TableParagraph"/>
              <w:spacing w:line="262" w:lineRule="exact" w:before="0"/>
              <w:ind w:left="197" w:right="0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(meaning ‘against’)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6"/>
              <w:ind w:left="197" w:right="411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auto- (meaning ‘self’ </w:t>
            </w:r>
            <w:r>
              <w:rPr>
                <w:rFonts w:ascii="Tuffy" w:hAnsi="Tuffy"/>
                <w:b/>
                <w:color w:val="C91362"/>
                <w:spacing w:val="-8"/>
                <w:sz w:val="22"/>
              </w:rPr>
              <w:t>or </w:t>
            </w:r>
            <w:r>
              <w:rPr>
                <w:rFonts w:ascii="Tuffy" w:hAnsi="Tuffy"/>
                <w:b/>
                <w:color w:val="C91362"/>
                <w:sz w:val="22"/>
              </w:rPr>
              <w:t>‘own’)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7" w:right="587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ex- (meaning ‘out’ 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6" w:right="587"/>
              <w:jc w:val="left"/>
              <w:rPr>
                <w:rFonts w:ascii="Tuffy" w:hAnsi="Tuffy"/>
                <w:b/>
                <w:sz w:val="22"/>
              </w:rPr>
            </w:pPr>
            <w:r>
              <w:rPr>
                <w:rFonts w:ascii="Tuffy" w:hAnsi="Tuffy"/>
                <w:b/>
                <w:color w:val="C91362"/>
                <w:sz w:val="22"/>
              </w:rPr>
              <w:t>Adding the prefix non- (meaning ‘not’ 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6" w:right="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292526"/>
                <w:sz w:val="22"/>
              </w:rPr>
              <w:t>Words ending in</w:t>
            </w:r>
          </w:p>
          <w:p>
            <w:pPr>
              <w:pStyle w:val="TableParagraph"/>
              <w:spacing w:before="36"/>
              <w:ind w:left="196" w:right="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292526"/>
                <w:sz w:val="22"/>
              </w:rPr>
              <w:t>-ar/ -er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2"/>
              <w:ind w:left="0" w:right="810"/>
              <w:jc w:val="righ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292526"/>
                <w:sz w:val="22"/>
              </w:rPr>
              <w:t>Review Week</w:t>
            </w:r>
          </w:p>
        </w:tc>
      </w:tr>
      <w:tr>
        <w:trPr>
          <w:trHeight w:val="6412" w:hRule="atLeast"/>
        </w:trPr>
        <w:tc>
          <w:tcPr>
            <w:tcW w:w="230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34" w:right="617" w:hanging="1"/>
              <w:rPr>
                <w:sz w:val="20"/>
              </w:rPr>
            </w:pPr>
            <w:r>
              <w:rPr>
                <w:color w:val="292526"/>
                <w:sz w:val="20"/>
              </w:rPr>
              <w:t>interact interfere intercity </w:t>
            </w:r>
            <w:r>
              <w:rPr>
                <w:color w:val="292526"/>
                <w:w w:val="95"/>
                <w:sz w:val="20"/>
              </w:rPr>
              <w:t>international </w:t>
            </w:r>
            <w:r>
              <w:rPr>
                <w:color w:val="292526"/>
                <w:w w:val="90"/>
                <w:sz w:val="20"/>
              </w:rPr>
              <w:t>intermediate </w:t>
            </w:r>
            <w:r>
              <w:rPr>
                <w:color w:val="292526"/>
                <w:sz w:val="20"/>
              </w:rPr>
              <w:t>internet </w:t>
            </w:r>
            <w:r>
              <w:rPr>
                <w:color w:val="292526"/>
                <w:w w:val="95"/>
                <w:sz w:val="20"/>
              </w:rPr>
              <w:t>intergalactic </w:t>
            </w:r>
            <w:r>
              <w:rPr>
                <w:color w:val="292526"/>
                <w:sz w:val="20"/>
              </w:rPr>
              <w:t>interrupt intervene</w:t>
            </w:r>
          </w:p>
          <w:p>
            <w:pPr>
              <w:pStyle w:val="TableParagraph"/>
              <w:spacing w:before="7"/>
              <w:ind w:left="748" w:right="734"/>
              <w:rPr>
                <w:sz w:val="20"/>
              </w:rPr>
            </w:pPr>
            <w:r>
              <w:rPr>
                <w:color w:val="292526"/>
                <w:sz w:val="20"/>
              </w:rPr>
              <w:t>interlude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583" w:right="563" w:hanging="1"/>
              <w:rPr>
                <w:sz w:val="20"/>
              </w:rPr>
            </w:pPr>
            <w:r>
              <w:rPr>
                <w:color w:val="292526"/>
                <w:sz w:val="20"/>
              </w:rPr>
              <w:t>antiseptic </w:t>
            </w:r>
            <w:r>
              <w:rPr>
                <w:color w:val="292526"/>
                <w:w w:val="90"/>
                <w:sz w:val="20"/>
              </w:rPr>
              <w:t>anticlockwise </w:t>
            </w:r>
            <w:r>
              <w:rPr>
                <w:color w:val="292526"/>
                <w:sz w:val="20"/>
              </w:rPr>
              <w:t>antisocial antidote antibiotic antivenom anti-ageing antifreeze </w:t>
            </w:r>
            <w:r>
              <w:rPr>
                <w:color w:val="292526"/>
                <w:w w:val="90"/>
                <w:sz w:val="20"/>
              </w:rPr>
              <w:t>antiperspirant</w:t>
            </w:r>
          </w:p>
          <w:p>
            <w:pPr>
              <w:pStyle w:val="TableParagraph"/>
              <w:spacing w:before="7"/>
              <w:ind w:right="567"/>
              <w:rPr>
                <w:sz w:val="20"/>
              </w:rPr>
            </w:pPr>
            <w:r>
              <w:rPr>
                <w:color w:val="292526"/>
                <w:sz w:val="20"/>
              </w:rPr>
              <w:t>antigravity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560" w:right="540" w:hanging="1"/>
              <w:rPr>
                <w:sz w:val="20"/>
              </w:rPr>
            </w:pPr>
            <w:r>
              <w:rPr>
                <w:color w:val="292526"/>
                <w:sz w:val="20"/>
              </w:rPr>
              <w:t>autograph </w:t>
            </w:r>
            <w:r>
              <w:rPr>
                <w:color w:val="292526"/>
                <w:w w:val="90"/>
                <w:sz w:val="20"/>
              </w:rPr>
              <w:t>autobiography </w:t>
            </w:r>
            <w:r>
              <w:rPr>
                <w:color w:val="292526"/>
                <w:sz w:val="20"/>
              </w:rPr>
              <w:t>automatic autofocus autocorrect autopilot autorotate automobile autonomy</w:t>
            </w:r>
          </w:p>
          <w:p>
            <w:pPr>
              <w:pStyle w:val="TableParagraph"/>
              <w:spacing w:before="7"/>
              <w:ind w:right="567"/>
              <w:rPr>
                <w:sz w:val="20"/>
              </w:rPr>
            </w:pPr>
            <w:r>
              <w:rPr>
                <w:color w:val="292526"/>
                <w:sz w:val="20"/>
              </w:rPr>
              <w:t>autocue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63" w:right="743" w:hanging="1"/>
              <w:rPr>
                <w:sz w:val="20"/>
              </w:rPr>
            </w:pPr>
            <w:r>
              <w:rPr>
                <w:color w:val="292526"/>
                <w:sz w:val="20"/>
              </w:rPr>
              <w:t>exit extend </w:t>
            </w:r>
            <w:r>
              <w:rPr>
                <w:color w:val="292526"/>
                <w:w w:val="95"/>
                <w:sz w:val="20"/>
              </w:rPr>
              <w:t>explode </w:t>
            </w:r>
            <w:r>
              <w:rPr>
                <w:color w:val="292526"/>
                <w:w w:val="90"/>
                <w:sz w:val="20"/>
              </w:rPr>
              <w:t>excursion exchange </w:t>
            </w:r>
            <w:r>
              <w:rPr>
                <w:color w:val="292526"/>
                <w:sz w:val="20"/>
              </w:rPr>
              <w:t>export </w:t>
            </w:r>
            <w:r>
              <w:rPr>
                <w:color w:val="292526"/>
                <w:w w:val="95"/>
                <w:sz w:val="20"/>
              </w:rPr>
              <w:t>exclaim </w:t>
            </w:r>
            <w:r>
              <w:rPr>
                <w:color w:val="292526"/>
                <w:sz w:val="20"/>
              </w:rPr>
              <w:t>expel </w:t>
            </w:r>
            <w:r>
              <w:rPr>
                <w:color w:val="292526"/>
                <w:w w:val="95"/>
                <w:sz w:val="20"/>
              </w:rPr>
              <w:t>external</w:t>
            </w:r>
          </w:p>
          <w:p>
            <w:pPr>
              <w:pStyle w:val="TableParagraph"/>
              <w:spacing w:before="7"/>
              <w:ind w:right="568"/>
              <w:rPr>
                <w:sz w:val="20"/>
              </w:rPr>
            </w:pPr>
            <w:r>
              <w:rPr>
                <w:color w:val="292526"/>
                <w:sz w:val="20"/>
              </w:rPr>
              <w:t>exterior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58" w:right="638" w:hanging="1"/>
              <w:rPr>
                <w:sz w:val="20"/>
              </w:rPr>
            </w:pPr>
            <w:r>
              <w:rPr>
                <w:color w:val="292526"/>
                <w:sz w:val="20"/>
              </w:rPr>
              <w:t>non-stick non-stop non-starter </w:t>
            </w:r>
            <w:r>
              <w:rPr>
                <w:color w:val="292526"/>
                <w:w w:val="90"/>
                <w:sz w:val="20"/>
              </w:rPr>
              <w:t>non-smoker </w:t>
            </w:r>
            <w:r>
              <w:rPr>
                <w:color w:val="292526"/>
                <w:w w:val="95"/>
                <w:sz w:val="20"/>
              </w:rPr>
              <w:t>nonsense </w:t>
            </w:r>
            <w:r>
              <w:rPr>
                <w:color w:val="292526"/>
                <w:sz w:val="20"/>
              </w:rPr>
              <w:t>non-fiction non-drip </w:t>
            </w:r>
            <w:r>
              <w:rPr>
                <w:color w:val="292526"/>
                <w:w w:val="95"/>
                <w:sz w:val="20"/>
              </w:rPr>
              <w:t>non-violent </w:t>
            </w:r>
            <w:r>
              <w:rPr>
                <w:color w:val="292526"/>
                <w:sz w:val="20"/>
              </w:rPr>
              <w:t>non-profit</w:t>
            </w:r>
          </w:p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92526"/>
                <w:sz w:val="20"/>
              </w:rPr>
              <w:t>non-</w:t>
            </w:r>
            <w:r>
              <w:rPr>
                <w:color w:val="C91362"/>
                <w:sz w:val="20"/>
              </w:rPr>
              <w:t>believe</w:t>
            </w:r>
            <w:r>
              <w:rPr>
                <w:color w:val="292526"/>
                <w:sz w:val="20"/>
              </w:rPr>
              <w:t>r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41" w:right="723" w:hanging="1"/>
              <w:rPr>
                <w:sz w:val="20"/>
              </w:rPr>
            </w:pPr>
            <w:r>
              <w:rPr>
                <w:color w:val="C91362"/>
                <w:w w:val="95"/>
                <w:sz w:val="20"/>
              </w:rPr>
              <w:t>calendar grammar </w:t>
            </w:r>
            <w:r>
              <w:rPr>
                <w:color w:val="C91362"/>
                <w:sz w:val="20"/>
              </w:rPr>
              <w:t>regular </w:t>
            </w:r>
            <w:r>
              <w:rPr>
                <w:color w:val="C91362"/>
                <w:w w:val="95"/>
                <w:sz w:val="20"/>
              </w:rPr>
              <w:t>particular </w:t>
            </w:r>
            <w:r>
              <w:rPr>
                <w:color w:val="C91362"/>
                <w:sz w:val="20"/>
              </w:rPr>
              <w:t>peculiar popular </w:t>
            </w:r>
            <w:r>
              <w:rPr>
                <w:color w:val="C91362"/>
                <w:w w:val="95"/>
                <w:sz w:val="20"/>
              </w:rPr>
              <w:t>consider </w:t>
            </w:r>
            <w:r>
              <w:rPr>
                <w:color w:val="C91362"/>
                <w:spacing w:val="-2"/>
                <w:w w:val="90"/>
                <w:sz w:val="20"/>
              </w:rPr>
              <w:t>remember </w:t>
            </w:r>
            <w:r>
              <w:rPr>
                <w:color w:val="C91362"/>
                <w:sz w:val="20"/>
              </w:rPr>
              <w:t>quarter</w:t>
            </w:r>
          </w:p>
          <w:p>
            <w:pPr>
              <w:pStyle w:val="TableParagraph"/>
              <w:spacing w:before="7"/>
              <w:ind w:left="584"/>
              <w:rPr>
                <w:sz w:val="20"/>
              </w:rPr>
            </w:pPr>
            <w:r>
              <w:rPr>
                <w:color w:val="292526"/>
                <w:sz w:val="20"/>
              </w:rPr>
              <w:t>integer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54" w:lineRule="auto" w:before="136"/>
              <w:ind w:left="196" w:right="601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Within this assess </w:t>
            </w:r>
            <w:r>
              <w:rPr>
                <w:color w:val="292526"/>
                <w:w w:val="95"/>
                <w:sz w:val="18"/>
              </w:rPr>
              <w:t>&amp; review week, use</w:t>
            </w:r>
          </w:p>
          <w:p>
            <w:pPr>
              <w:pStyle w:val="TableParagraph"/>
              <w:spacing w:line="249" w:lineRule="auto" w:before="0"/>
              <w:ind w:left="196" w:right="178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the provided </w:t>
            </w:r>
            <w:r>
              <w:rPr>
                <w:rFonts w:ascii="Tuffy" w:hAnsi="Tuffy"/>
                <w:b/>
                <w:color w:val="00B3F0"/>
                <w:sz w:val="18"/>
              </w:rPr>
              <w:t>Year 4 </w:t>
            </w:r>
            <w:r>
              <w:rPr>
                <w:rFonts w:ascii="Tuffy" w:hAnsi="Tuffy"/>
                <w:b/>
                <w:color w:val="00B3F0"/>
                <w:spacing w:val="-3"/>
                <w:sz w:val="18"/>
              </w:rPr>
              <w:t>Term </w:t>
            </w:r>
            <w:r>
              <w:rPr>
                <w:rFonts w:ascii="Tuffy" w:hAnsi="Tuffy"/>
                <w:b/>
                <w:color w:val="00B3F0"/>
                <w:sz w:val="18"/>
              </w:rPr>
              <w:t>3A Dictation Passages </w:t>
            </w:r>
            <w:r>
              <w:rPr>
                <w:color w:val="292526"/>
                <w:sz w:val="18"/>
              </w:rPr>
              <w:t>and the </w:t>
            </w:r>
            <w:r>
              <w:rPr>
                <w:rFonts w:ascii="Tuffy" w:hAnsi="Tuffy"/>
                <w:b/>
                <w:color w:val="00B3F0"/>
                <w:sz w:val="18"/>
              </w:rPr>
              <w:t>Spot the Mistake with Mr Whoops </w:t>
            </w:r>
            <w:r>
              <w:rPr>
                <w:color w:val="292526"/>
                <w:sz w:val="18"/>
              </w:rPr>
              <w:t>self-correction activities to assess </w:t>
            </w:r>
            <w:r>
              <w:rPr>
                <w:color w:val="292526"/>
                <w:w w:val="95"/>
                <w:sz w:val="18"/>
              </w:rPr>
              <w:t>pupil’s progress against </w:t>
            </w:r>
            <w:r>
              <w:rPr>
                <w:color w:val="292526"/>
                <w:sz w:val="18"/>
              </w:rPr>
              <w:t>the objectives that </w:t>
            </w:r>
            <w:r>
              <w:rPr>
                <w:color w:val="292526"/>
                <w:spacing w:val="-3"/>
                <w:sz w:val="18"/>
              </w:rPr>
              <w:t>have </w:t>
            </w:r>
            <w:r>
              <w:rPr>
                <w:color w:val="292526"/>
                <w:sz w:val="18"/>
              </w:rPr>
              <w:t>been covered within </w:t>
            </w:r>
            <w:r>
              <w:rPr>
                <w:color w:val="292526"/>
                <w:spacing w:val="-4"/>
                <w:sz w:val="18"/>
              </w:rPr>
              <w:t>this </w:t>
            </w:r>
            <w:r>
              <w:rPr>
                <w:color w:val="292526"/>
                <w:sz w:val="18"/>
              </w:rPr>
              <w:t>half-term.</w:t>
            </w:r>
          </w:p>
        </w:tc>
      </w:tr>
    </w:tbl>
    <w:sectPr>
      <w:type w:val="continuous"/>
      <w:pgSz w:w="16840" w:h="11910" w:orient="landscape"/>
      <w:pgMar w:top="34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uffy">
    <w:altName w:val="Tuff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4890" w:right="4898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ind w:left="585" w:right="56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2021-11-23T11:19:41Z</dcterms:created>
  <dcterms:modified xsi:type="dcterms:W3CDTF">2021-11-23T11:19:41Z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2021-11-23T00:00:00Z</vt:filetime>
  </property>
</Properties>
</file>