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16.918400pt;margin-top:527.796326pt;width:807.5pt;height:56.15pt;mso-position-horizontal-relative:page;mso-position-vertical-relative:page;z-index:15729152" coordorigin="338,10556" coordsize="16150,1123">
            <v:shape style="position:absolute;left:1489;top:10703;width:341;height:114" coordorigin="1489,10704" coordsize="341,114" path="m1588,10747l1587,10744,1554,10745,1553,10745,1534,10718,1531,10718,1522,10750,1521,10751,1489,10761,1489,10764,1516,10783,1517,10783,1517,10816,1519,10818,1545,10798,1546,10797,1578,10808,1580,10806,1569,10775,1569,10774,1588,10747xm1830,10749l1817,10733,1817,10732,1824,10711,1823,10710,1803,10717,1802,10717,1785,10704,1783,10705,1783,10726,1783,10727,1766,10739,1766,10741,1786,10747,1787,10747,1793,10768,1795,10768,1807,10751,1808,10751,1829,10751,1830,10749xe" filled="true" fillcolor="#292526" stroked="false">
              <v:path arrowok="t"/>
              <v:fill type="solid"/>
            </v:shape>
            <v:shape style="position:absolute;left:1166;top:10555;width:152;height:150" type="#_x0000_t75" stroked="false">
              <v:imagedata r:id="rId5" o:title=""/>
            </v:shape>
            <v:shape style="position:absolute;left:338;top:10732;width:16150;height:947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558;top:11079;width:1790;height:238" type="#_x0000_t202" filled="false" stroked="false">
              <v:textbox inset="0,0,0,0">
                <w:txbxContent>
                  <w:p>
                    <w:pPr>
                      <w:spacing w:before="2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Tuffy"/>
                        <w:b/>
                        <w:color w:val="FFFFFF"/>
                        <w:sz w:val="16"/>
                      </w:rPr>
                      <w:t>Spelling</w:t>
                    </w:r>
                    <w:r>
                      <w:rPr>
                        <w:rFonts w:ascii="Tuffy"/>
                        <w:b/>
                        <w:color w:val="FFFFFF"/>
                        <w:spacing w:val="-25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|</w:t>
                    </w:r>
                    <w:r>
                      <w:rPr>
                        <w:color w:val="FFFFFF"/>
                        <w:spacing w:val="-21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Year</w:t>
                    </w:r>
                    <w:r>
                      <w:rPr>
                        <w:color w:val="FFFFFF"/>
                        <w:spacing w:val="-21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6</w:t>
                    </w:r>
                    <w:r>
                      <w:rPr>
                        <w:color w:val="FFFFFF"/>
                        <w:spacing w:val="-20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|</w:t>
                    </w:r>
                    <w:r>
                      <w:rPr>
                        <w:color w:val="FFFFFF"/>
                        <w:spacing w:val="-21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Term</w:t>
                    </w:r>
                    <w:r>
                      <w:rPr>
                        <w:color w:val="FFFFFF"/>
                        <w:spacing w:val="-22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2a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92526"/>
        </w:rPr>
        <w:t>Year 6 Term 2A Overview</w:t>
      </w:r>
    </w:p>
    <w:p>
      <w:pPr>
        <w:pStyle w:val="BodyText"/>
        <w:spacing w:line="285" w:lineRule="auto" w:before="96"/>
        <w:ind w:left="189" w:right="132"/>
        <w:jc w:val="both"/>
      </w:pPr>
      <w:r>
        <w:rPr>
          <w:color w:val="292526"/>
        </w:rPr>
        <w:t>Objectives that are in </w:t>
      </w:r>
      <w:r>
        <w:rPr>
          <w:color w:val="C91362"/>
        </w:rPr>
        <w:t>pink </w:t>
      </w:r>
      <w:r>
        <w:rPr>
          <w:color w:val="292526"/>
        </w:rPr>
        <w:t>are a Y5/Y6 statutory requirement and individual words highlighted </w:t>
      </w:r>
      <w:r>
        <w:rPr>
          <w:color w:val="C91362"/>
        </w:rPr>
        <w:t>pink </w:t>
      </w:r>
      <w:r>
        <w:rPr>
          <w:color w:val="292526"/>
        </w:rPr>
        <w:t>are from the Y5/Y6 statutory spelling list. The additional sets either: revise previously visited spelling rules from lower year groups; practise a spelling rule linked to a Y5/Y6 statutory spelling word or relate to a word, sentence or punctuation objective from the English Appendix 2 of the NC 2014.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3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2306"/>
        <w:gridCol w:w="2306"/>
        <w:gridCol w:w="2306"/>
        <w:gridCol w:w="2306"/>
      </w:tblGrid>
      <w:tr>
        <w:trPr>
          <w:trHeight w:val="391" w:hRule="atLeast"/>
        </w:trPr>
        <w:tc>
          <w:tcPr>
            <w:tcW w:w="2306" w:type="dxa"/>
            <w:tcBorders>
              <w:bottom w:val="nil"/>
              <w:right w:val="single" w:sz="4" w:space="0" w:color="231F20"/>
            </w:tcBorders>
          </w:tcPr>
          <w:p>
            <w:pPr>
              <w:pStyle w:val="TableParagraph"/>
              <w:ind w:left="576" w:right="562"/>
              <w:rPr>
                <w:rFonts w:ascii="Tuffy"/>
                <w:b/>
                <w:sz w:val="18"/>
              </w:rPr>
            </w:pPr>
            <w:r>
              <w:rPr>
                <w:rFonts w:ascii="Tuffy"/>
                <w:b/>
                <w:color w:val="292526"/>
                <w:sz w:val="18"/>
              </w:rPr>
              <w:t>Week 1</w:t>
            </w:r>
          </w:p>
        </w:tc>
        <w:tc>
          <w:tcPr>
            <w:tcW w:w="2306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right="616"/>
              <w:rPr>
                <w:rFonts w:ascii="Tuffy"/>
                <w:b/>
                <w:sz w:val="18"/>
              </w:rPr>
            </w:pPr>
            <w:r>
              <w:rPr>
                <w:rFonts w:ascii="Tuffy"/>
                <w:b/>
                <w:color w:val="292526"/>
                <w:sz w:val="18"/>
              </w:rPr>
              <w:t>Week 2</w:t>
            </w:r>
          </w:p>
        </w:tc>
        <w:tc>
          <w:tcPr>
            <w:tcW w:w="2306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right="617"/>
              <w:rPr>
                <w:rFonts w:ascii="Tuffy"/>
                <w:b/>
                <w:sz w:val="18"/>
              </w:rPr>
            </w:pPr>
            <w:r>
              <w:rPr>
                <w:rFonts w:ascii="Tuffy"/>
                <w:b/>
                <w:color w:val="292526"/>
                <w:sz w:val="18"/>
              </w:rPr>
              <w:t>Week 3</w:t>
            </w:r>
          </w:p>
        </w:tc>
        <w:tc>
          <w:tcPr>
            <w:tcW w:w="2306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right="618"/>
              <w:rPr>
                <w:rFonts w:ascii="Tuffy"/>
                <w:b/>
                <w:sz w:val="18"/>
              </w:rPr>
            </w:pPr>
            <w:r>
              <w:rPr>
                <w:rFonts w:ascii="Tuffy"/>
                <w:b/>
                <w:color w:val="292526"/>
                <w:sz w:val="18"/>
              </w:rPr>
              <w:t>Week 4</w:t>
            </w:r>
          </w:p>
        </w:tc>
        <w:tc>
          <w:tcPr>
            <w:tcW w:w="2306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right="619"/>
              <w:rPr>
                <w:rFonts w:ascii="Tuffy"/>
                <w:b/>
                <w:sz w:val="18"/>
              </w:rPr>
            </w:pPr>
            <w:r>
              <w:rPr>
                <w:rFonts w:ascii="Tuffy"/>
                <w:b/>
                <w:color w:val="292526"/>
                <w:sz w:val="18"/>
              </w:rPr>
              <w:t>Week 5</w:t>
            </w:r>
          </w:p>
        </w:tc>
        <w:tc>
          <w:tcPr>
            <w:tcW w:w="2306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right="619"/>
              <w:rPr>
                <w:rFonts w:ascii="Tuffy"/>
                <w:b/>
                <w:sz w:val="18"/>
              </w:rPr>
            </w:pPr>
            <w:r>
              <w:rPr>
                <w:rFonts w:ascii="Tuffy"/>
                <w:b/>
                <w:color w:val="292526"/>
                <w:sz w:val="18"/>
              </w:rPr>
              <w:t>Week 6</w:t>
            </w:r>
          </w:p>
        </w:tc>
        <w:tc>
          <w:tcPr>
            <w:tcW w:w="2306" w:type="dxa"/>
            <w:tcBorders>
              <w:left w:val="single" w:sz="4" w:space="0" w:color="231F20"/>
              <w:bottom w:val="nil"/>
            </w:tcBorders>
          </w:tcPr>
          <w:p>
            <w:pPr>
              <w:pStyle w:val="TableParagraph"/>
              <w:ind w:left="576" w:right="556"/>
              <w:rPr>
                <w:rFonts w:ascii="Tuffy"/>
                <w:b/>
                <w:sz w:val="18"/>
              </w:rPr>
            </w:pPr>
            <w:r>
              <w:rPr>
                <w:rFonts w:ascii="Tuffy"/>
                <w:b/>
                <w:color w:val="292526"/>
                <w:sz w:val="18"/>
              </w:rPr>
              <w:t>Week 7</w:t>
            </w:r>
          </w:p>
        </w:tc>
      </w:tr>
      <w:tr>
        <w:trPr>
          <w:trHeight w:val="1533" w:hRule="atLeast"/>
        </w:trPr>
        <w:tc>
          <w:tcPr>
            <w:tcW w:w="2306" w:type="dxa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00" w:lineRule="auto" w:before="62"/>
              <w:ind w:left="193" w:right="200"/>
              <w:jc w:val="left"/>
              <w:rPr>
                <w:rFonts w:ascii="Tuffy"/>
                <w:b/>
                <w:sz w:val="20"/>
              </w:rPr>
            </w:pPr>
            <w:r>
              <w:rPr>
                <w:rFonts w:ascii="Tuffy"/>
                <w:b/>
                <w:color w:val="C91362"/>
                <w:sz w:val="20"/>
              </w:rPr>
              <w:t>Adding suffixes beginning with vowel letters to words ending in -fer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2"/>
              <w:ind w:left="197"/>
              <w:jc w:val="both"/>
              <w:rPr>
                <w:rFonts w:ascii="Tuffy"/>
                <w:b/>
                <w:sz w:val="20"/>
              </w:rPr>
            </w:pPr>
            <w:r>
              <w:rPr>
                <w:rFonts w:ascii="Tuffy"/>
                <w:b/>
                <w:color w:val="C91362"/>
                <w:sz w:val="20"/>
              </w:rPr>
              <w:t>Words with a long</w:t>
            </w:r>
          </w:p>
          <w:p>
            <w:pPr>
              <w:pStyle w:val="TableParagraph"/>
              <w:spacing w:line="300" w:lineRule="auto" w:before="61"/>
              <w:ind w:left="197" w:right="444"/>
              <w:jc w:val="both"/>
              <w:rPr>
                <w:rFonts w:ascii="Tuffy" w:hAnsi="Tuffy"/>
                <w:b/>
                <w:sz w:val="20"/>
              </w:rPr>
            </w:pPr>
            <w:r>
              <w:rPr>
                <w:rFonts w:ascii="Tuffy" w:hAnsi="Tuffy"/>
                <w:b/>
                <w:color w:val="C91362"/>
                <w:sz w:val="20"/>
              </w:rPr>
              <w:t>/e/ sound spelt ‘ie’ or ‘ei’ after c (and exceptions)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2"/>
              <w:ind w:left="197"/>
              <w:jc w:val="both"/>
              <w:rPr>
                <w:rFonts w:ascii="Tuffy"/>
                <w:b/>
                <w:sz w:val="20"/>
              </w:rPr>
            </w:pPr>
            <w:r>
              <w:rPr>
                <w:rFonts w:ascii="Tuffy"/>
                <w:b/>
                <w:color w:val="C91362"/>
                <w:sz w:val="20"/>
              </w:rPr>
              <w:t>Words with the long</w:t>
            </w:r>
          </w:p>
          <w:p>
            <w:pPr>
              <w:pStyle w:val="TableParagraph"/>
              <w:spacing w:line="300" w:lineRule="auto" w:before="61"/>
              <w:ind w:left="197" w:right="444"/>
              <w:jc w:val="both"/>
              <w:rPr>
                <w:rFonts w:ascii="Tuffy" w:hAnsi="Tuffy"/>
                <w:b/>
                <w:sz w:val="20"/>
              </w:rPr>
            </w:pPr>
            <w:r>
              <w:rPr>
                <w:rFonts w:ascii="Tuffy" w:hAnsi="Tuffy"/>
                <w:b/>
                <w:color w:val="C91362"/>
                <w:sz w:val="20"/>
              </w:rPr>
              <w:t>/e/ sound spelt ‘ie’ or ‘ei’ after c (and exceptions)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00" w:lineRule="atLeast" w:before="2"/>
              <w:ind w:left="197" w:right="99"/>
              <w:jc w:val="left"/>
              <w:rPr>
                <w:rFonts w:ascii="Tuffy"/>
                <w:b/>
                <w:sz w:val="20"/>
              </w:rPr>
            </w:pPr>
            <w:r>
              <w:rPr>
                <w:rFonts w:ascii="Tuffy"/>
                <w:b/>
                <w:color w:val="292526"/>
                <w:sz w:val="20"/>
              </w:rPr>
              <w:t>Word families based on common words, showing how words are related in form and meaning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00" w:lineRule="atLeast" w:before="2"/>
              <w:ind w:left="196" w:right="99"/>
              <w:jc w:val="left"/>
              <w:rPr>
                <w:rFonts w:ascii="Tuffy"/>
                <w:b/>
                <w:sz w:val="20"/>
              </w:rPr>
            </w:pPr>
            <w:r>
              <w:rPr>
                <w:rFonts w:ascii="Tuffy"/>
                <w:b/>
                <w:color w:val="292526"/>
                <w:sz w:val="20"/>
              </w:rPr>
              <w:t>Word families based on common words, showing how words are related in form and meaning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00" w:lineRule="auto" w:before="62"/>
              <w:ind w:left="196" w:right="464"/>
              <w:jc w:val="left"/>
              <w:rPr>
                <w:rFonts w:ascii="Tuffy"/>
                <w:b/>
                <w:sz w:val="20"/>
              </w:rPr>
            </w:pPr>
            <w:r>
              <w:rPr>
                <w:rFonts w:ascii="Tuffy"/>
                <w:b/>
                <w:color w:val="292526"/>
                <w:sz w:val="20"/>
              </w:rPr>
              <w:t>Statutory Spelling Challenge Words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62"/>
              <w:ind w:left="196"/>
              <w:jc w:val="left"/>
              <w:rPr>
                <w:rFonts w:ascii="Tuffy"/>
                <w:b/>
                <w:sz w:val="20"/>
              </w:rPr>
            </w:pPr>
            <w:r>
              <w:rPr>
                <w:rFonts w:ascii="Tuffy"/>
                <w:b/>
                <w:color w:val="292526"/>
                <w:sz w:val="20"/>
              </w:rPr>
              <w:t>Review Week</w:t>
            </w:r>
          </w:p>
        </w:tc>
      </w:tr>
      <w:tr>
        <w:trPr>
          <w:trHeight w:val="6412" w:hRule="atLeast"/>
        </w:trPr>
        <w:tc>
          <w:tcPr>
            <w:tcW w:w="2306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667" w:lineRule="auto" w:before="133"/>
              <w:ind w:left="576" w:right="559"/>
              <w:rPr>
                <w:sz w:val="20"/>
              </w:rPr>
            </w:pPr>
            <w:r>
              <w:rPr>
                <w:color w:val="292526"/>
                <w:sz w:val="20"/>
              </w:rPr>
              <w:t>referring referred referral reference referee preferring preferred </w:t>
            </w:r>
            <w:r>
              <w:rPr>
                <w:color w:val="292526"/>
                <w:w w:val="95"/>
                <w:sz w:val="20"/>
              </w:rPr>
              <w:t>preference transferring</w:t>
            </w:r>
          </w:p>
          <w:p>
            <w:pPr>
              <w:pStyle w:val="TableParagraph"/>
              <w:spacing w:before="7"/>
              <w:ind w:left="576" w:right="562"/>
              <w:rPr>
                <w:sz w:val="20"/>
              </w:rPr>
            </w:pPr>
            <w:r>
              <w:rPr>
                <w:color w:val="292526"/>
                <w:sz w:val="20"/>
              </w:rPr>
              <w:t>transference</w:t>
            </w:r>
          </w:p>
        </w:tc>
        <w:tc>
          <w:tcPr>
            <w:tcW w:w="230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667" w:lineRule="auto" w:before="133"/>
              <w:ind w:left="842" w:right="821" w:firstLine="100"/>
              <w:jc w:val="both"/>
              <w:rPr>
                <w:sz w:val="20"/>
              </w:rPr>
            </w:pPr>
            <w:r>
              <w:rPr>
                <w:color w:val="292526"/>
                <w:sz w:val="20"/>
              </w:rPr>
              <w:t>siege niece grief chief fiend shriek </w:t>
            </w:r>
            <w:r>
              <w:rPr>
                <w:color w:val="292526"/>
                <w:w w:val="95"/>
                <w:sz w:val="20"/>
              </w:rPr>
              <w:t>believe </w:t>
            </w:r>
            <w:r>
              <w:rPr>
                <w:color w:val="C91362"/>
                <w:w w:val="90"/>
                <w:sz w:val="20"/>
              </w:rPr>
              <w:t>achieve</w:t>
            </w:r>
          </w:p>
          <w:p>
            <w:pPr>
              <w:pStyle w:val="TableParagraph"/>
              <w:spacing w:before="7"/>
              <w:ind w:left="640"/>
              <w:jc w:val="left"/>
              <w:rPr>
                <w:sz w:val="20"/>
              </w:rPr>
            </w:pPr>
            <w:r>
              <w:rPr>
                <w:color w:val="C91362"/>
                <w:sz w:val="20"/>
              </w:rPr>
              <w:t>convenience</w:t>
            </w:r>
          </w:p>
          <w:p>
            <w:pPr>
              <w:pStyle w:val="TableParagraph"/>
              <w:spacing w:before="7"/>
              <w:ind w:left="0"/>
              <w:jc w:val="left"/>
              <w:rPr>
                <w:sz w:val="35"/>
              </w:rPr>
            </w:pPr>
          </w:p>
          <w:p>
            <w:pPr>
              <w:pStyle w:val="TableParagraph"/>
              <w:spacing w:before="0"/>
              <w:ind w:left="650"/>
              <w:jc w:val="left"/>
              <w:rPr>
                <w:sz w:val="20"/>
              </w:rPr>
            </w:pPr>
            <w:r>
              <w:rPr>
                <w:color w:val="C91362"/>
                <w:sz w:val="20"/>
              </w:rPr>
              <w:t>mischievous</w:t>
            </w:r>
          </w:p>
        </w:tc>
        <w:tc>
          <w:tcPr>
            <w:tcW w:w="230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667" w:lineRule="auto" w:before="133"/>
              <w:ind w:left="793" w:right="773" w:hanging="1"/>
              <w:rPr>
                <w:sz w:val="20"/>
              </w:rPr>
            </w:pPr>
            <w:r>
              <w:rPr>
                <w:color w:val="292526"/>
                <w:w w:val="95"/>
                <w:sz w:val="20"/>
              </w:rPr>
              <w:t>deceive </w:t>
            </w:r>
            <w:r>
              <w:rPr>
                <w:color w:val="292526"/>
                <w:w w:val="90"/>
                <w:sz w:val="20"/>
              </w:rPr>
              <w:t>conceive </w:t>
            </w:r>
            <w:r>
              <w:rPr>
                <w:color w:val="292526"/>
                <w:w w:val="95"/>
                <w:sz w:val="20"/>
              </w:rPr>
              <w:t>receive </w:t>
            </w:r>
            <w:r>
              <w:rPr>
                <w:color w:val="292526"/>
                <w:w w:val="90"/>
                <w:sz w:val="20"/>
              </w:rPr>
              <w:t>perceive </w:t>
            </w:r>
            <w:r>
              <w:rPr>
                <w:color w:val="292526"/>
                <w:sz w:val="20"/>
              </w:rPr>
              <w:t>ceiling receipt protein </w:t>
            </w:r>
            <w:r>
              <w:rPr>
                <w:color w:val="292526"/>
                <w:w w:val="95"/>
                <w:sz w:val="20"/>
              </w:rPr>
              <w:t>caffeine </w:t>
            </w:r>
            <w:r>
              <w:rPr>
                <w:color w:val="292526"/>
                <w:sz w:val="20"/>
              </w:rPr>
              <w:t>seize</w:t>
            </w:r>
          </w:p>
          <w:p>
            <w:pPr>
              <w:pStyle w:val="TableParagraph"/>
              <w:spacing w:before="7"/>
              <w:ind w:right="617"/>
              <w:rPr>
                <w:sz w:val="20"/>
              </w:rPr>
            </w:pPr>
            <w:r>
              <w:rPr>
                <w:color w:val="292526"/>
                <w:sz w:val="20"/>
              </w:rPr>
              <w:t>neither</w:t>
            </w:r>
          </w:p>
        </w:tc>
        <w:tc>
          <w:tcPr>
            <w:tcW w:w="230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667" w:lineRule="auto" w:before="133"/>
              <w:ind w:left="645" w:right="625" w:hanging="1"/>
              <w:rPr>
                <w:sz w:val="20"/>
              </w:rPr>
            </w:pPr>
            <w:r>
              <w:rPr>
                <w:color w:val="292526"/>
                <w:sz w:val="20"/>
              </w:rPr>
              <w:t>commit </w:t>
            </w:r>
            <w:r>
              <w:rPr>
                <w:color w:val="C91362"/>
                <w:w w:val="95"/>
                <w:sz w:val="20"/>
              </w:rPr>
              <w:t>committee </w:t>
            </w:r>
            <w:r>
              <w:rPr>
                <w:color w:val="292526"/>
                <w:sz w:val="20"/>
              </w:rPr>
              <w:t>transmit submit </w:t>
            </w:r>
            <w:r>
              <w:rPr>
                <w:color w:val="292526"/>
                <w:w w:val="90"/>
                <w:sz w:val="20"/>
              </w:rPr>
              <w:t>commitment </w:t>
            </w:r>
            <w:r>
              <w:rPr>
                <w:color w:val="292526"/>
                <w:sz w:val="20"/>
              </w:rPr>
              <w:t>emit</w:t>
            </w:r>
          </w:p>
          <w:p>
            <w:pPr>
              <w:pStyle w:val="TableParagraph"/>
              <w:spacing w:line="667" w:lineRule="auto" w:before="5"/>
              <w:ind w:right="616"/>
              <w:rPr>
                <w:sz w:val="20"/>
              </w:rPr>
            </w:pPr>
            <w:r>
              <w:rPr>
                <w:color w:val="292526"/>
                <w:sz w:val="20"/>
              </w:rPr>
              <w:t>permit </w:t>
            </w:r>
            <w:r>
              <w:rPr>
                <w:color w:val="292526"/>
                <w:w w:val="95"/>
                <w:sz w:val="20"/>
              </w:rPr>
              <w:t>intermittent </w:t>
            </w:r>
            <w:r>
              <w:rPr>
                <w:color w:val="292526"/>
                <w:sz w:val="20"/>
              </w:rPr>
              <w:t>omit</w:t>
            </w:r>
          </w:p>
          <w:p>
            <w:pPr>
              <w:pStyle w:val="TableParagraph"/>
              <w:spacing w:before="2"/>
              <w:ind w:right="618"/>
              <w:rPr>
                <w:sz w:val="20"/>
              </w:rPr>
            </w:pPr>
            <w:r>
              <w:rPr>
                <w:color w:val="292526"/>
                <w:sz w:val="20"/>
              </w:rPr>
              <w:t>unremitting</w:t>
            </w:r>
          </w:p>
        </w:tc>
        <w:tc>
          <w:tcPr>
            <w:tcW w:w="230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667" w:lineRule="auto" w:before="133"/>
              <w:ind w:right="616"/>
              <w:rPr>
                <w:sz w:val="20"/>
              </w:rPr>
            </w:pPr>
            <w:r>
              <w:rPr>
                <w:color w:val="C91362"/>
                <w:sz w:val="20"/>
              </w:rPr>
              <w:t>interrupt interfere </w:t>
            </w:r>
            <w:r>
              <w:rPr>
                <w:color w:val="292526"/>
                <w:sz w:val="20"/>
              </w:rPr>
              <w:t>intercept interject intertwine interim internal </w:t>
            </w:r>
            <w:r>
              <w:rPr>
                <w:color w:val="292526"/>
                <w:w w:val="90"/>
                <w:sz w:val="20"/>
              </w:rPr>
              <w:t>intersperse </w:t>
            </w:r>
            <w:r>
              <w:rPr>
                <w:color w:val="292526"/>
                <w:sz w:val="20"/>
              </w:rPr>
              <w:t>interloper</w:t>
            </w:r>
          </w:p>
          <w:p>
            <w:pPr>
              <w:pStyle w:val="TableParagraph"/>
              <w:spacing w:before="7"/>
              <w:ind w:right="619"/>
              <w:rPr>
                <w:sz w:val="20"/>
              </w:rPr>
            </w:pPr>
            <w:r>
              <w:rPr>
                <w:color w:val="292526"/>
                <w:sz w:val="20"/>
              </w:rPr>
              <w:t>interest</w:t>
            </w:r>
          </w:p>
        </w:tc>
        <w:tc>
          <w:tcPr>
            <w:tcW w:w="230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667" w:lineRule="auto" w:before="133"/>
              <w:ind w:left="658" w:right="640" w:hanging="1"/>
              <w:rPr>
                <w:sz w:val="20"/>
              </w:rPr>
            </w:pPr>
            <w:r>
              <w:rPr>
                <w:color w:val="C91362"/>
                <w:sz w:val="20"/>
              </w:rPr>
              <w:t>attached available average </w:t>
            </w:r>
            <w:r>
              <w:rPr>
                <w:color w:val="C91362"/>
                <w:w w:val="95"/>
                <w:sz w:val="20"/>
              </w:rPr>
              <w:t>competition </w:t>
            </w:r>
            <w:r>
              <w:rPr>
                <w:color w:val="C91362"/>
                <w:w w:val="90"/>
                <w:sz w:val="20"/>
              </w:rPr>
              <w:t>conscience </w:t>
            </w:r>
            <w:r>
              <w:rPr>
                <w:color w:val="C91362"/>
                <w:w w:val="95"/>
                <w:sz w:val="20"/>
              </w:rPr>
              <w:t>controversy </w:t>
            </w:r>
            <w:r>
              <w:rPr>
                <w:color w:val="C91362"/>
                <w:w w:val="90"/>
                <w:sz w:val="20"/>
              </w:rPr>
              <w:t>correspond </w:t>
            </w:r>
            <w:r>
              <w:rPr>
                <w:color w:val="C91362"/>
                <w:w w:val="95"/>
                <w:sz w:val="20"/>
              </w:rPr>
              <w:t>embarrass especially</w:t>
            </w:r>
          </w:p>
          <w:p>
            <w:pPr>
              <w:pStyle w:val="TableParagraph"/>
              <w:spacing w:before="7"/>
              <w:ind w:right="619"/>
              <w:rPr>
                <w:sz w:val="20"/>
              </w:rPr>
            </w:pPr>
            <w:r>
              <w:rPr>
                <w:color w:val="C91362"/>
                <w:sz w:val="20"/>
              </w:rPr>
              <w:t>exaggerate</w:t>
            </w:r>
          </w:p>
        </w:tc>
        <w:tc>
          <w:tcPr>
            <w:tcW w:w="2306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line="249" w:lineRule="auto" w:before="136"/>
              <w:ind w:left="196" w:right="257"/>
              <w:jc w:val="left"/>
              <w:rPr>
                <w:sz w:val="18"/>
              </w:rPr>
            </w:pPr>
            <w:r>
              <w:rPr>
                <w:color w:val="292526"/>
                <w:w w:val="95"/>
                <w:sz w:val="18"/>
              </w:rPr>
              <w:t>Within this review week, </w:t>
            </w:r>
            <w:r>
              <w:rPr>
                <w:color w:val="292526"/>
                <w:sz w:val="18"/>
              </w:rPr>
              <w:t>use the provided </w:t>
            </w:r>
            <w:r>
              <w:rPr>
                <w:rFonts w:ascii="Tuffy" w:hAnsi="Tuffy"/>
                <w:b/>
                <w:color w:val="00B3F0"/>
                <w:sz w:val="18"/>
              </w:rPr>
              <w:t>Year 6 </w:t>
            </w:r>
            <w:r>
              <w:rPr>
                <w:rFonts w:ascii="Tuffy" w:hAnsi="Tuffy"/>
                <w:b/>
                <w:color w:val="00B3F0"/>
                <w:spacing w:val="-3"/>
                <w:sz w:val="18"/>
              </w:rPr>
              <w:t>Term </w:t>
            </w:r>
            <w:r>
              <w:rPr>
                <w:rFonts w:ascii="Tuffy" w:hAnsi="Tuffy"/>
                <w:b/>
                <w:color w:val="00B3F0"/>
                <w:sz w:val="18"/>
              </w:rPr>
              <w:t>2A Dictation Passages </w:t>
            </w:r>
            <w:r>
              <w:rPr>
                <w:color w:val="292526"/>
                <w:sz w:val="18"/>
              </w:rPr>
              <w:t>and the </w:t>
            </w:r>
            <w:r>
              <w:rPr>
                <w:rFonts w:ascii="Tuffy" w:hAnsi="Tuffy"/>
                <w:b/>
                <w:color w:val="00B3F0"/>
                <w:sz w:val="18"/>
              </w:rPr>
              <w:t>Spot the Mistake with Mr Whoops </w:t>
            </w:r>
            <w:r>
              <w:rPr>
                <w:color w:val="292526"/>
                <w:sz w:val="18"/>
              </w:rPr>
              <w:t>self- </w:t>
            </w:r>
            <w:r>
              <w:rPr>
                <w:color w:val="292526"/>
                <w:spacing w:val="-3"/>
                <w:sz w:val="18"/>
              </w:rPr>
              <w:t>correction </w:t>
            </w:r>
            <w:r>
              <w:rPr>
                <w:color w:val="292526"/>
                <w:sz w:val="18"/>
              </w:rPr>
              <w:t>activities to assess </w:t>
            </w:r>
            <w:r>
              <w:rPr>
                <w:color w:val="292526"/>
                <w:w w:val="95"/>
                <w:sz w:val="18"/>
              </w:rPr>
              <w:t>pupil’s progress against </w:t>
            </w:r>
            <w:r>
              <w:rPr>
                <w:color w:val="292526"/>
                <w:sz w:val="18"/>
              </w:rPr>
              <w:t>the</w:t>
            </w:r>
            <w:r>
              <w:rPr>
                <w:color w:val="292526"/>
                <w:spacing w:val="-19"/>
                <w:sz w:val="18"/>
              </w:rPr>
              <w:t> </w:t>
            </w:r>
            <w:r>
              <w:rPr>
                <w:color w:val="292526"/>
                <w:sz w:val="18"/>
              </w:rPr>
              <w:t>objectives</w:t>
            </w:r>
            <w:r>
              <w:rPr>
                <w:color w:val="292526"/>
                <w:spacing w:val="-19"/>
                <w:sz w:val="18"/>
              </w:rPr>
              <w:t> </w:t>
            </w:r>
            <w:r>
              <w:rPr>
                <w:color w:val="292526"/>
                <w:sz w:val="18"/>
              </w:rPr>
              <w:t>that</w:t>
            </w:r>
            <w:r>
              <w:rPr>
                <w:color w:val="292526"/>
                <w:spacing w:val="-19"/>
                <w:sz w:val="18"/>
              </w:rPr>
              <w:t> </w:t>
            </w:r>
            <w:r>
              <w:rPr>
                <w:color w:val="292526"/>
                <w:spacing w:val="-3"/>
                <w:sz w:val="18"/>
              </w:rPr>
              <w:t>have </w:t>
            </w:r>
            <w:r>
              <w:rPr>
                <w:color w:val="292526"/>
                <w:sz w:val="18"/>
              </w:rPr>
              <w:t>been</w:t>
            </w:r>
            <w:r>
              <w:rPr>
                <w:color w:val="292526"/>
                <w:spacing w:val="-29"/>
                <w:sz w:val="18"/>
              </w:rPr>
              <w:t> </w:t>
            </w:r>
            <w:r>
              <w:rPr>
                <w:color w:val="292526"/>
                <w:sz w:val="18"/>
              </w:rPr>
              <w:t>covered</w:t>
            </w:r>
            <w:r>
              <w:rPr>
                <w:color w:val="292526"/>
                <w:spacing w:val="-28"/>
                <w:sz w:val="18"/>
              </w:rPr>
              <w:t> </w:t>
            </w:r>
            <w:r>
              <w:rPr>
                <w:color w:val="292526"/>
                <w:sz w:val="18"/>
              </w:rPr>
              <w:t>within</w:t>
            </w:r>
            <w:r>
              <w:rPr>
                <w:color w:val="292526"/>
                <w:spacing w:val="-29"/>
                <w:sz w:val="18"/>
              </w:rPr>
              <w:t> </w:t>
            </w:r>
            <w:r>
              <w:rPr>
                <w:color w:val="292526"/>
                <w:spacing w:val="-4"/>
                <w:sz w:val="18"/>
              </w:rPr>
              <w:t>this </w:t>
            </w:r>
            <w:r>
              <w:rPr>
                <w:color w:val="292526"/>
                <w:sz w:val="18"/>
              </w:rPr>
              <w:t>half-term.</w:t>
            </w:r>
          </w:p>
        </w:tc>
      </w:tr>
    </w:tbl>
    <w:sectPr>
      <w:type w:val="continuous"/>
      <w:pgSz w:w="16840" w:h="11910" w:orient="landscape"/>
      <w:pgMar w:top="260" w:bottom="0" w:left="2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uffy">
    <w:altName w:val="Tuffy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72"/>
      <w:ind w:left="4890" w:right="4898"/>
      <w:jc w:val="center"/>
    </w:pPr>
    <w:rPr>
      <w:rFonts w:ascii="Tuffy" w:hAnsi="Tuffy" w:eastAsia="Tuffy" w:cs="Tuffy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4"/>
      <w:ind w:left="635"/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2021-11-23T11:30:22Z</dcterms:created>
  <dcterms:modified xsi:type="dcterms:W3CDTF">2021-11-23T11:30:22Z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2021-11-23T00:00:00Z</vt:filetime>
  </property>
</Properties>
</file>