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6.918400pt;margin-top:527.796326pt;width:807.5pt;height:56.15pt;mso-position-horizontal-relative:page;mso-position-vertical-relative:page;z-index:15729152" coordorigin="338,10556" coordsize="16150,1123">
            <v:shape style="position:absolute;left:1489;top:10703;width:341;height:114" coordorigin="1489,10704" coordsize="341,114" path="m1588,10747l1587,10744,1554,10745,1553,10745,1534,10718,1531,10718,1522,10750,1521,10751,1489,10761,1489,10764,1516,10783,1517,10783,1517,10816,1519,10818,1545,10798,1546,10797,1578,10808,1580,10806,1569,10775,1569,10774,1588,10747xm1830,10749l1817,10733,1817,10732,1824,10711,1823,10710,1803,10717,1802,10717,1785,10704,1783,10705,1783,10726,1783,10727,1766,10739,1766,10741,1786,10747,1787,10747,1793,10768,1795,10768,1807,10751,1808,10751,1829,10751,1830,10749xe" filled="true" fillcolor="#292526" stroked="false">
              <v:path arrowok="t"/>
              <v:fill type="solid"/>
            </v:shape>
            <v:shape style="position:absolute;left:1166;top:10555;width:152;height:150" type="#_x0000_t75" stroked="false">
              <v:imagedata r:id="rId5" o:title=""/>
            </v:shape>
            <v:shape style="position:absolute;left:338;top:10732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58;top:11079;width:1790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5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6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2a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92526"/>
        </w:rPr>
        <w:t>Year 6 Term 2A Overview</w:t>
      </w:r>
    </w:p>
    <w:p>
      <w:pPr>
        <w:pStyle w:val="BodyText"/>
        <w:spacing w:line="285" w:lineRule="auto" w:before="96"/>
        <w:ind w:left="189" w:right="132"/>
        <w:jc w:val="both"/>
      </w:pPr>
      <w:r>
        <w:rPr>
          <w:color w:val="292526"/>
        </w:rPr>
        <w:t>Objectives that are in </w:t>
      </w:r>
      <w:r>
        <w:rPr>
          <w:color w:val="C91362"/>
        </w:rPr>
        <w:t>pink </w:t>
      </w:r>
      <w:r>
        <w:rPr>
          <w:color w:val="292526"/>
        </w:rPr>
        <w:t>are a Y5/Y6 statutory requirement and individual words highlighted </w:t>
      </w:r>
      <w:r>
        <w:rPr>
          <w:color w:val="C91362"/>
        </w:rPr>
        <w:t>pink </w:t>
      </w:r>
      <w:r>
        <w:rPr>
          <w:color w:val="292526"/>
        </w:rPr>
        <w:t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</w:t>
      </w:r>
    </w:p>
    <w:p>
      <w:pPr>
        <w:pStyle w:val="BodyText"/>
        <w:rPr>
          <w:sz w:val="5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9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76" w:right="562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61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61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618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61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61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ind w:left="576" w:right="55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33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3" w:right="20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Adding suffixes beginning with vowel letters to words ending in -fer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7"/>
              <w:jc w:val="both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with a long</w:t>
            </w:r>
          </w:p>
          <w:p>
            <w:pPr>
              <w:pStyle w:val="TableParagraph"/>
              <w:spacing w:line="300" w:lineRule="auto" w:before="61"/>
              <w:ind w:left="197" w:right="444"/>
              <w:jc w:val="both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/e/ sound spelt ‘ie’ or ‘ei’ after c (and exceptions)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7"/>
              <w:jc w:val="both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with the long</w:t>
            </w:r>
          </w:p>
          <w:p>
            <w:pPr>
              <w:pStyle w:val="TableParagraph"/>
              <w:spacing w:line="300" w:lineRule="auto" w:before="61"/>
              <w:ind w:left="197" w:right="444"/>
              <w:jc w:val="both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/e/ sound spelt ‘ie’ or ‘ei’ after c (and exceptions)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left="197" w:right="9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left="196" w:right="9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6" w:right="464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Statutory Spelling Challenge Words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left="196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576" w:right="559"/>
              <w:rPr>
                <w:sz w:val="20"/>
              </w:rPr>
            </w:pPr>
            <w:r>
              <w:rPr>
                <w:color w:val="292526"/>
                <w:sz w:val="20"/>
              </w:rPr>
              <w:t>referring referred referral reference referee preferring preferred </w:t>
            </w:r>
            <w:r>
              <w:rPr>
                <w:color w:val="292526"/>
                <w:w w:val="95"/>
                <w:sz w:val="20"/>
              </w:rPr>
              <w:t>preference transferring</w:t>
            </w:r>
          </w:p>
          <w:p>
            <w:pPr>
              <w:pStyle w:val="TableParagraph"/>
              <w:spacing w:before="7"/>
              <w:ind w:left="576" w:right="562"/>
              <w:rPr>
                <w:sz w:val="20"/>
              </w:rPr>
            </w:pPr>
            <w:r>
              <w:rPr>
                <w:color w:val="292526"/>
                <w:sz w:val="20"/>
              </w:rPr>
              <w:t>transference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842" w:right="821" w:firstLine="100"/>
              <w:jc w:val="both"/>
              <w:rPr>
                <w:sz w:val="20"/>
              </w:rPr>
            </w:pPr>
            <w:r>
              <w:rPr>
                <w:color w:val="292526"/>
                <w:sz w:val="20"/>
              </w:rPr>
              <w:t>siege niece grief chief fiend shriek </w:t>
            </w:r>
            <w:r>
              <w:rPr>
                <w:color w:val="292526"/>
                <w:w w:val="95"/>
                <w:sz w:val="20"/>
              </w:rPr>
              <w:t>believe </w:t>
            </w:r>
            <w:r>
              <w:rPr>
                <w:color w:val="C91362"/>
                <w:w w:val="90"/>
                <w:sz w:val="20"/>
              </w:rPr>
              <w:t>achieve</w:t>
            </w:r>
          </w:p>
          <w:p>
            <w:pPr>
              <w:pStyle w:val="TableParagraph"/>
              <w:spacing w:before="7"/>
              <w:ind w:left="640"/>
              <w:jc w:val="left"/>
              <w:rPr>
                <w:sz w:val="20"/>
              </w:rPr>
            </w:pPr>
            <w:r>
              <w:rPr>
                <w:color w:val="C91362"/>
                <w:sz w:val="20"/>
              </w:rPr>
              <w:t>convenience</w:t>
            </w:r>
          </w:p>
          <w:p>
            <w:pPr>
              <w:pStyle w:val="TableParagraph"/>
              <w:spacing w:before="7"/>
              <w:ind w:left="0"/>
              <w:jc w:val="left"/>
              <w:rPr>
                <w:sz w:val="35"/>
              </w:rPr>
            </w:pPr>
          </w:p>
          <w:p>
            <w:pPr>
              <w:pStyle w:val="TableParagraph"/>
              <w:spacing w:before="0"/>
              <w:ind w:left="650"/>
              <w:jc w:val="left"/>
              <w:rPr>
                <w:sz w:val="20"/>
              </w:rPr>
            </w:pPr>
            <w:r>
              <w:rPr>
                <w:color w:val="C91362"/>
                <w:sz w:val="20"/>
              </w:rPr>
              <w:t>mischievous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93" w:right="773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deceive </w:t>
            </w:r>
            <w:r>
              <w:rPr>
                <w:color w:val="292526"/>
                <w:w w:val="90"/>
                <w:sz w:val="20"/>
              </w:rPr>
              <w:t>conceive </w:t>
            </w:r>
            <w:r>
              <w:rPr>
                <w:color w:val="292526"/>
                <w:w w:val="95"/>
                <w:sz w:val="20"/>
              </w:rPr>
              <w:t>receive </w:t>
            </w:r>
            <w:r>
              <w:rPr>
                <w:color w:val="292526"/>
                <w:w w:val="90"/>
                <w:sz w:val="20"/>
              </w:rPr>
              <w:t>perceive </w:t>
            </w:r>
            <w:r>
              <w:rPr>
                <w:color w:val="292526"/>
                <w:sz w:val="20"/>
              </w:rPr>
              <w:t>ceiling receipt protein </w:t>
            </w:r>
            <w:r>
              <w:rPr>
                <w:color w:val="292526"/>
                <w:w w:val="95"/>
                <w:sz w:val="20"/>
              </w:rPr>
              <w:t>caffeine </w:t>
            </w:r>
            <w:r>
              <w:rPr>
                <w:color w:val="292526"/>
                <w:sz w:val="20"/>
              </w:rPr>
              <w:t>seize</w:t>
            </w:r>
          </w:p>
          <w:p>
            <w:pPr>
              <w:pStyle w:val="TableParagraph"/>
              <w:spacing w:before="7"/>
              <w:ind w:right="617"/>
              <w:rPr>
                <w:sz w:val="20"/>
              </w:rPr>
            </w:pPr>
            <w:r>
              <w:rPr>
                <w:color w:val="292526"/>
                <w:sz w:val="20"/>
              </w:rPr>
              <w:t>neither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45" w:right="625" w:hanging="1"/>
              <w:rPr>
                <w:sz w:val="20"/>
              </w:rPr>
            </w:pPr>
            <w:r>
              <w:rPr>
                <w:color w:val="292526"/>
                <w:sz w:val="20"/>
              </w:rPr>
              <w:t>commit </w:t>
            </w:r>
            <w:r>
              <w:rPr>
                <w:color w:val="C91362"/>
                <w:w w:val="95"/>
                <w:sz w:val="20"/>
              </w:rPr>
              <w:t>committee </w:t>
            </w:r>
            <w:r>
              <w:rPr>
                <w:color w:val="292526"/>
                <w:sz w:val="20"/>
              </w:rPr>
              <w:t>transmit submit </w:t>
            </w:r>
            <w:r>
              <w:rPr>
                <w:color w:val="292526"/>
                <w:w w:val="90"/>
                <w:sz w:val="20"/>
              </w:rPr>
              <w:t>commitment </w:t>
            </w:r>
            <w:r>
              <w:rPr>
                <w:color w:val="292526"/>
                <w:sz w:val="20"/>
              </w:rPr>
              <w:t>emit</w:t>
            </w:r>
          </w:p>
          <w:p>
            <w:pPr>
              <w:pStyle w:val="TableParagraph"/>
              <w:spacing w:line="667" w:lineRule="auto" w:before="5"/>
              <w:ind w:right="616"/>
              <w:rPr>
                <w:sz w:val="20"/>
              </w:rPr>
            </w:pPr>
            <w:r>
              <w:rPr>
                <w:color w:val="292526"/>
                <w:sz w:val="20"/>
              </w:rPr>
              <w:t>permit </w:t>
            </w:r>
            <w:r>
              <w:rPr>
                <w:color w:val="292526"/>
                <w:w w:val="95"/>
                <w:sz w:val="20"/>
              </w:rPr>
              <w:t>intermittent </w:t>
            </w:r>
            <w:r>
              <w:rPr>
                <w:color w:val="292526"/>
                <w:sz w:val="20"/>
              </w:rPr>
              <w:t>omit</w:t>
            </w:r>
          </w:p>
          <w:p>
            <w:pPr>
              <w:pStyle w:val="TableParagraph"/>
              <w:spacing w:before="2"/>
              <w:ind w:right="618"/>
              <w:rPr>
                <w:sz w:val="20"/>
              </w:rPr>
            </w:pPr>
            <w:r>
              <w:rPr>
                <w:color w:val="292526"/>
                <w:sz w:val="20"/>
              </w:rPr>
              <w:t>unremitting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right="616"/>
              <w:rPr>
                <w:sz w:val="20"/>
              </w:rPr>
            </w:pPr>
            <w:r>
              <w:rPr>
                <w:color w:val="C91362"/>
                <w:sz w:val="20"/>
              </w:rPr>
              <w:t>interrupt interfere </w:t>
            </w:r>
            <w:r>
              <w:rPr>
                <w:color w:val="292526"/>
                <w:sz w:val="20"/>
              </w:rPr>
              <w:t>intercept interject intertwine interim internal </w:t>
            </w:r>
            <w:r>
              <w:rPr>
                <w:color w:val="292526"/>
                <w:w w:val="90"/>
                <w:sz w:val="20"/>
              </w:rPr>
              <w:t>intersperse </w:t>
            </w:r>
            <w:r>
              <w:rPr>
                <w:color w:val="292526"/>
                <w:sz w:val="20"/>
              </w:rPr>
              <w:t>interloper</w:t>
            </w:r>
          </w:p>
          <w:p>
            <w:pPr>
              <w:pStyle w:val="TableParagraph"/>
              <w:spacing w:before="7"/>
              <w:ind w:right="619"/>
              <w:rPr>
                <w:sz w:val="20"/>
              </w:rPr>
            </w:pPr>
            <w:r>
              <w:rPr>
                <w:color w:val="292526"/>
                <w:sz w:val="20"/>
              </w:rPr>
              <w:t>interest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58" w:right="640" w:hanging="1"/>
              <w:rPr>
                <w:sz w:val="20"/>
              </w:rPr>
            </w:pPr>
            <w:r>
              <w:rPr>
                <w:color w:val="C91362"/>
                <w:sz w:val="20"/>
              </w:rPr>
              <w:t>attached available average </w:t>
            </w:r>
            <w:r>
              <w:rPr>
                <w:color w:val="C91362"/>
                <w:w w:val="95"/>
                <w:sz w:val="20"/>
              </w:rPr>
              <w:t>competition </w:t>
            </w:r>
            <w:r>
              <w:rPr>
                <w:color w:val="C91362"/>
                <w:w w:val="90"/>
                <w:sz w:val="20"/>
              </w:rPr>
              <w:t>conscience </w:t>
            </w:r>
            <w:r>
              <w:rPr>
                <w:color w:val="C91362"/>
                <w:w w:val="95"/>
                <w:sz w:val="20"/>
              </w:rPr>
              <w:t>controversy </w:t>
            </w:r>
            <w:r>
              <w:rPr>
                <w:color w:val="C91362"/>
                <w:w w:val="90"/>
                <w:sz w:val="20"/>
              </w:rPr>
              <w:t>correspond </w:t>
            </w:r>
            <w:r>
              <w:rPr>
                <w:color w:val="C91362"/>
                <w:w w:val="95"/>
                <w:sz w:val="20"/>
              </w:rPr>
              <w:t>embarrass especially</w:t>
            </w:r>
          </w:p>
          <w:p>
            <w:pPr>
              <w:pStyle w:val="TableParagraph"/>
              <w:spacing w:before="7"/>
              <w:ind w:right="619"/>
              <w:rPr>
                <w:sz w:val="20"/>
              </w:rPr>
            </w:pPr>
            <w:r>
              <w:rPr>
                <w:color w:val="C91362"/>
                <w:sz w:val="20"/>
              </w:rPr>
              <w:t>exaggerate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9" w:lineRule="auto" w:before="136"/>
              <w:ind w:left="196" w:right="257"/>
              <w:jc w:val="left"/>
              <w:rPr>
                <w:sz w:val="18"/>
              </w:rPr>
            </w:pPr>
            <w:r>
              <w:rPr>
                <w:color w:val="292526"/>
                <w:w w:val="95"/>
                <w:sz w:val="18"/>
              </w:rPr>
              <w:t>Within this review week, </w:t>
            </w:r>
            <w:r>
              <w:rPr>
                <w:color w:val="292526"/>
                <w:sz w:val="18"/>
              </w:rPr>
              <w:t>use 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6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2A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 </w:t>
            </w:r>
            <w:r>
              <w:rPr>
                <w:color w:val="292526"/>
                <w:spacing w:val="-3"/>
                <w:sz w:val="18"/>
              </w:rPr>
              <w:t>correction </w:t>
            </w:r>
            <w:r>
              <w:rPr>
                <w:color w:val="292526"/>
                <w:sz w:val="18"/>
              </w:rPr>
              <w:t>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objectives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that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covered</w:t>
            </w:r>
            <w:r>
              <w:rPr>
                <w:color w:val="292526"/>
                <w:spacing w:val="-28"/>
                <w:sz w:val="18"/>
              </w:rPr>
              <w:t> </w:t>
            </w:r>
            <w:r>
              <w:rPr>
                <w:color w:val="292526"/>
                <w:sz w:val="18"/>
              </w:rPr>
              <w:t>within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sectPr>
      <w:type w:val="continuous"/>
      <w:pgSz w:w="16840" w:h="11910" w:orient="landscape"/>
      <w:pgMar w:top="26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2"/>
      <w:ind w:left="4890" w:right="4898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635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2021-11-23T11:30:22Z</dcterms:created>
  <dcterms:modified xsi:type="dcterms:W3CDTF">2021-11-23T11:30:22Z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